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13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GUION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guion debe desarrollar lo planteado en la formulación del proyecto: acciones específicas, personajes y lugares, imágenes y sonidos importantes en el desarrollo del proyecto. Este debe corresponder a la totalidad del capítulo o unitario y su lectura debe ser comprensible para el equipo de trabajo.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 continuación ofrecemos dos opciones de formato de guion. El proponente es libre de escoger el que más convenga a la estructura y estilo de su narración.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1:</w:t>
      </w:r>
    </w:p>
    <w:p w:rsidR="00000000" w:rsidDel="00000000" w:rsidP="00000000" w:rsidRDefault="00000000" w:rsidRPr="00000000" w14:paraId="00000009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1 INT/EXT. LOCACION - DÍA/NOCHE</w:t>
      </w:r>
    </w:p>
    <w:p w:rsidR="00000000" w:rsidDel="00000000" w:rsidP="00000000" w:rsidRDefault="00000000" w:rsidRPr="00000000" w14:paraId="0000000B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Descripción de la escena, descripción de la escena,descripción de la escena</w:t>
      </w:r>
    </w:p>
    <w:p w:rsidR="00000000" w:rsidDel="00000000" w:rsidP="00000000" w:rsidRDefault="00000000" w:rsidRPr="00000000" w14:paraId="0000000D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1</w:t>
      </w:r>
    </w:p>
    <w:p w:rsidR="00000000" w:rsidDel="00000000" w:rsidP="00000000" w:rsidRDefault="00000000" w:rsidRPr="00000000" w14:paraId="0000000F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10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1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2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2</w:t>
      </w:r>
    </w:p>
    <w:p w:rsidR="00000000" w:rsidDel="00000000" w:rsidP="00000000" w:rsidRDefault="00000000" w:rsidRPr="00000000" w14:paraId="00000014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15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6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7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2 INT/EXT. LOCACION - DÍA/NOCHE</w:t>
      </w:r>
    </w:p>
    <w:p w:rsidR="00000000" w:rsidDel="00000000" w:rsidP="00000000" w:rsidRDefault="00000000" w:rsidRPr="00000000" w14:paraId="00000019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40" w:lineRule="auto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Descripción de la escena, descripción de la escena,descripción de la escena</w:t>
      </w:r>
    </w:p>
    <w:p w:rsidR="00000000" w:rsidDel="00000000" w:rsidP="00000000" w:rsidRDefault="00000000" w:rsidRPr="00000000" w14:paraId="0000001B">
      <w:pPr>
        <w:spacing w:line="240" w:lineRule="auto"/>
        <w:ind w:left="567" w:firstLine="0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3</w:t>
      </w:r>
    </w:p>
    <w:p w:rsidR="00000000" w:rsidDel="00000000" w:rsidP="00000000" w:rsidRDefault="00000000" w:rsidRPr="00000000" w14:paraId="0000001D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1E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1F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20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PERSONAJE 1</w:t>
      </w:r>
    </w:p>
    <w:p w:rsidR="00000000" w:rsidDel="00000000" w:rsidP="00000000" w:rsidRDefault="00000000" w:rsidRPr="00000000" w14:paraId="00000022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(acotación)</w:t>
      </w:r>
    </w:p>
    <w:p w:rsidR="00000000" w:rsidDel="00000000" w:rsidP="00000000" w:rsidRDefault="00000000" w:rsidRPr="00000000" w14:paraId="00000023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24">
      <w:pPr>
        <w:spacing w:line="240" w:lineRule="auto"/>
        <w:jc w:val="center"/>
        <w:rPr>
          <w:rFonts w:ascii="Courier New" w:cs="Courier New" w:eastAsia="Courier New" w:hAnsi="Courier New"/>
        </w:rPr>
      </w:pPr>
      <w:r w:rsidDel="00000000" w:rsidR="00000000" w:rsidRPr="00000000">
        <w:rPr>
          <w:rFonts w:ascii="Courier New" w:cs="Courier New" w:eastAsia="Courier New" w:hAnsi="Courier New"/>
          <w:rtl w:val="0"/>
        </w:rPr>
        <w:t xml:space="preserve">diálogo diálogo diálogo diálogo</w:t>
      </w:r>
    </w:p>
    <w:p w:rsidR="00000000" w:rsidDel="00000000" w:rsidP="00000000" w:rsidRDefault="00000000" w:rsidRPr="00000000" w14:paraId="00000025">
      <w:pPr>
        <w:spacing w:line="240" w:lineRule="auto"/>
        <w:ind w:right="2126"/>
        <w:rPr>
          <w:rFonts w:ascii="Courier New" w:cs="Courier New" w:eastAsia="Courier New" w:hAnsi="Courier New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left="567" w:right="-2" w:firstLine="0"/>
        <w:jc w:val="right"/>
        <w:rPr>
          <w:rFonts w:ascii="Courier New" w:cs="Courier New" w:eastAsia="Courier New" w:hAnsi="Courier New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left="567" w:right="-2" w:firstLine="0"/>
        <w:jc w:val="center"/>
        <w:rPr>
          <w:rFonts w:ascii="Courier New" w:cs="Courier New" w:eastAsia="Courier New" w:hAnsi="Courier New"/>
          <w:smallCaps w:val="1"/>
        </w:rPr>
      </w:pPr>
      <w:r w:rsidDel="00000000" w:rsidR="00000000" w:rsidRPr="00000000">
        <w:rPr>
          <w:rFonts w:ascii="Courier New" w:cs="Courier New" w:eastAsia="Courier New" w:hAnsi="Courier New"/>
          <w:smallCaps w:val="1"/>
          <w:rtl w:val="0"/>
        </w:rPr>
        <w:t xml:space="preserve">TRANSICIÓN:</w:t>
      </w:r>
    </w:p>
    <w:p w:rsidR="00000000" w:rsidDel="00000000" w:rsidP="00000000" w:rsidRDefault="00000000" w:rsidRPr="00000000" w14:paraId="00000028">
      <w:pPr>
        <w:spacing w:line="240" w:lineRule="auto"/>
        <w:ind w:left="567" w:firstLine="0"/>
        <w:rPr>
          <w:rFonts w:ascii="Courier New" w:cs="Courier New" w:eastAsia="Courier New" w:hAnsi="Courier New"/>
          <w:smallCap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Courier New" w:cs="Courier New" w:eastAsia="Courier New" w:hAnsi="Courier New"/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FORMATO 2:</w:t>
      </w:r>
    </w:p>
    <w:p w:rsidR="00000000" w:rsidDel="00000000" w:rsidP="00000000" w:rsidRDefault="00000000" w:rsidRPr="00000000" w14:paraId="0000002D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ind w:left="567" w:firstLine="0"/>
        <w:rPr>
          <w:rFonts w:ascii="Courier New" w:cs="Courier New" w:eastAsia="Courier New" w:hAnsi="Courier New"/>
          <w:b w:val="1"/>
          <w:u w:val="singl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47.0" w:type="dxa"/>
        <w:jc w:val="left"/>
        <w:tblInd w:w="-152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42"/>
        <w:gridCol w:w="2640"/>
        <w:gridCol w:w="2340"/>
        <w:gridCol w:w="2225"/>
        <w:tblGridChange w:id="0">
          <w:tblGrid>
            <w:gridCol w:w="1442"/>
            <w:gridCol w:w="2640"/>
            <w:gridCol w:w="2340"/>
            <w:gridCol w:w="2225"/>
          </w:tblGrid>
        </w:tblGridChange>
      </w:tblGrid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N° Escena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Video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Audio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ourier New" w:cs="Courier New" w:eastAsia="Courier New" w:hAnsi="Courier New"/>
                <w:b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b w:val="1"/>
                <w:rtl w:val="0"/>
              </w:rPr>
              <w:t xml:space="preserve">Gráficos/textos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ourier New" w:cs="Courier New" w:eastAsia="Courier New" w:hAnsi="Courier New"/>
                <w:smallCaps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ourier New" w:cs="Courier New" w:eastAsia="Courier New" w:hAnsi="Courier New"/>
                <w:b w:val="1"/>
                <w:u w:val="single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int/EXT. locación – DÍA/noche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Descripción de la escena.Descripción de la escena. Descripción de la escena.Descripción de la escena.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ourier New" w:cs="Courier New" w:eastAsia="Courier New" w:hAnsi="Courier Ne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PERSONAJE 1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Diálogo diálogo diálogo diálogo.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Texto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ourier New" w:cs="Courier New" w:eastAsia="Courier New" w:hAnsi="Courier New"/>
                <w:smallCaps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2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Courier New" w:cs="Courier New" w:eastAsia="Courier New" w:hAnsi="Courier New"/>
                <w:smallCaps w:val="1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smallCaps w:val="1"/>
                <w:rtl w:val="0"/>
              </w:rPr>
              <w:t xml:space="preserve">int/EXT. locación – DÍA/noche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Descripción de la escena.Descripción de la escena. Descripción de la escena.Descripción de la escena.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ourier New" w:cs="Courier New" w:eastAsia="Courier New" w:hAnsi="Courier New"/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PERSONAJE 2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Diálogo diálogo diálogo diálogo.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Courier New" w:cs="Courier New" w:eastAsia="Courier New" w:hAnsi="Courier New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rtl w:val="0"/>
              </w:rPr>
              <w:t xml:space="preserve">Gráfica</w:t>
            </w:r>
          </w:p>
        </w:tc>
      </w:tr>
    </w:tbl>
    <w:p w:rsidR="00000000" w:rsidDel="00000000" w:rsidP="00000000" w:rsidRDefault="00000000" w:rsidRPr="00000000" w14:paraId="00000042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3znysh7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Courier New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D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5E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2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1833090</wp:posOffset>
          </wp:positionH>
          <wp:positionV relativeFrom="paragraph">
            <wp:posOffset>-266699</wp:posOffset>
          </wp:positionV>
          <wp:extent cx="1736884" cy="979781"/>
          <wp:effectExtent b="0" l="0" r="0" t="0"/>
          <wp:wrapNone/>
          <wp:docPr id="2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5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CP-001-2025</w:t>
    </w:r>
  </w:p>
  <w:p w:rsidR="00000000" w:rsidDel="00000000" w:rsidP="00000000" w:rsidRDefault="00000000" w:rsidRPr="00000000" w14:paraId="0000005C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A67255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A67255"/>
  </w:style>
  <w:style w:type="paragraph" w:styleId="Piedepgina">
    <w:name w:val="footer"/>
    <w:basedOn w:val="Normal"/>
    <w:link w:val="PiedepginaCar"/>
    <w:uiPriority w:val="99"/>
    <w:unhideWhenUsed w:val="1"/>
    <w:rsid w:val="00A67255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A67255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KTrO0PNKJo1lGdsBRnn2QhYzU2A==">CgMxLjAyCWguMjZpbjFyZzIJaC4zem55c2g3OAByITFsZ25jTExpaTRHNFhNRThqRHNOSUx5VEtTaDMyMGt2cg==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2020-07-23T14:04:00Z</dcterms:created>
</cp:coreProperties>
</file>